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FEC" w:rsidRPr="00307DB5" w:rsidRDefault="00567FEC" w:rsidP="00794259">
      <w:pPr>
        <w:jc w:val="center"/>
        <w:rPr>
          <w:rFonts w:asciiTheme="minorHAnsi" w:hAnsiTheme="minorHAnsi"/>
          <w:b/>
          <w:bCs/>
          <w:lang w:val="bg-BG"/>
        </w:rPr>
      </w:pPr>
      <w:r w:rsidRPr="00307DB5">
        <w:rPr>
          <w:rFonts w:asciiTheme="minorHAnsi" w:hAnsiTheme="minorHAnsi"/>
          <w:b/>
          <w:bCs/>
          <w:lang w:val="bg-BG"/>
        </w:rPr>
        <w:t>ПРАВИЛА ЗА ПРОВЕЖДАНЕ НА ПРОЦЕДУРАТА</w:t>
      </w:r>
    </w:p>
    <w:p w:rsidR="00794259" w:rsidRPr="00307DB5" w:rsidRDefault="00794259" w:rsidP="00567FEC">
      <w:pPr>
        <w:jc w:val="both"/>
        <w:rPr>
          <w:rFonts w:asciiTheme="minorHAnsi" w:hAnsiTheme="minorHAnsi"/>
          <w:b/>
          <w:bCs/>
          <w:sz w:val="22"/>
          <w:szCs w:val="22"/>
          <w:lang w:val="bg-BG"/>
        </w:rPr>
      </w:pPr>
    </w:p>
    <w:p w:rsidR="00567FEC" w:rsidRPr="00307DB5" w:rsidRDefault="00567FEC" w:rsidP="00567FEC">
      <w:pPr>
        <w:jc w:val="both"/>
        <w:rPr>
          <w:rFonts w:asciiTheme="minorHAnsi" w:hAnsiTheme="minorHAnsi"/>
          <w:b/>
          <w:bCs/>
          <w:sz w:val="22"/>
          <w:szCs w:val="22"/>
          <w:lang w:val="bg-BG"/>
        </w:rPr>
      </w:pPr>
      <w:r w:rsidRPr="00307DB5">
        <w:rPr>
          <w:rFonts w:asciiTheme="minorHAnsi" w:hAnsiTheme="minorHAnsi"/>
          <w:b/>
          <w:bCs/>
          <w:sz w:val="22"/>
          <w:szCs w:val="22"/>
          <w:lang w:val="bg-BG"/>
        </w:rPr>
        <w:t>1. Общи правила за провеждане на процедурата.</w:t>
      </w:r>
    </w:p>
    <w:p w:rsidR="00567FEC" w:rsidRPr="00307DB5" w:rsidRDefault="00567FEC" w:rsidP="00567FEC">
      <w:pPr>
        <w:pStyle w:val="BodyText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1.1. Настоящите правила определят принципите, условията и реда за провеждане на процедурата за възлагане на обществената поръчка в съответствие със Закона за обществените поръчки (ЗОП) и Правилника за прилагане на Закона за обществени поръчки (ППЗОП).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1.2. След изтичането на срока за получаване на офертите възложит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елят назначава комисията по чл.103,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 ЗОП 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ru-RU"/>
        </w:rPr>
        <w:t>с Решение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, в кое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то определя: 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- поименния състав и лицето, определено за председател;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-</w:t>
      </w:r>
      <w:r w:rsidRPr="00307DB5">
        <w:rPr>
          <w:rFonts w:asciiTheme="minorHAnsi" w:hAnsiTheme="minorHAnsi"/>
          <w:sz w:val="22"/>
          <w:szCs w:val="22"/>
          <w:lang w:val="ru-RU"/>
        </w:rPr>
        <w:t xml:space="preserve"> </w:t>
      </w:r>
      <w:r w:rsidRPr="00307DB5">
        <w:rPr>
          <w:rFonts w:asciiTheme="minorHAnsi" w:hAnsiTheme="minorHAnsi"/>
          <w:sz w:val="22"/>
          <w:szCs w:val="22"/>
          <w:lang w:val="bg-BG"/>
        </w:rPr>
        <w:t>сроковете за извършване на работата;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- място на съхранение на документите, свързани с обществената поръчка, до приключване работата на комисията. </w:t>
      </w:r>
    </w:p>
    <w:p w:rsidR="00567FEC" w:rsidRPr="00307DB5" w:rsidRDefault="00567FEC" w:rsidP="00567FEC">
      <w:pPr>
        <w:widowControl w:val="0"/>
        <w:tabs>
          <w:tab w:val="left" w:pos="-1134"/>
          <w:tab w:val="left" w:pos="36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1.3. 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Членовете на комисията представят н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а възложителя декларация по чл.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103, ал.2 ЗОП, след получаване на списъка с кандидатите или участниците и на всеки етап от процедурата, когато настъпи промяна в декларираните данни.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1.4. Комисията започва работа след получаване на представените оферти и протокола, с който офертите се предават на председателя на комисията.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1.5. 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представители на средствата за масово осведомяване.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1.6. Комисията отваря по реда на тяхното постъпване запечатаните непрозрачни опаковки и оповестява тяхното съдържание, както и проверява за наличието на отделен запечатан плик с надпис „Предлагани ценови параметри“. 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1.7. Най-малко трима от членовете на комисията подписват техническото предложение и плика с надпис „Предлагани ценови параметри“. 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1.8. Комисията предлага по един от присъстващите представители на другите участници да подпише техническото предложение и плика с надпис „Предлагани ценови параметри“. 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1.9. Публичната част от заседанието на комисията приключва след извършването на действи</w:t>
      </w:r>
      <w:r w:rsidR="00307DB5">
        <w:rPr>
          <w:rFonts w:asciiTheme="minorHAnsi" w:hAnsiTheme="minorHAnsi"/>
          <w:color w:val="000000"/>
          <w:sz w:val="22"/>
          <w:szCs w:val="22"/>
          <w:lang w:val="bg-BG"/>
        </w:rPr>
        <w:t>ята по т.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1.6 – 1.8.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1.10. Комисия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та разглежда документите по чл.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39, ал.2 от ППЗОП за съответствие с изискванията към личното състояние и критериите за подбор, поставени от възложителя, и съставя протокол.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1.11. Когато установи липса, непълнота и/или несъответствие на информацията, включително нередовност или фактическа грешка, или несъответствие с изискванията към личното състояние или критериите за подбор, комисията ги посочва в протокола по т.1.10. и изпраща протокола на всички участници в деня на публикуването му в профила на купувача.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1.12. В срок до 5 работни дни от 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получаването на протокола по т.1.10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участниците, по отношение на които е констатирано несъответствие или липса на информация, могат да представят на комисията нов </w:t>
      </w:r>
      <w:r w:rsidRPr="00307DB5">
        <w:rPr>
          <w:rFonts w:asciiTheme="minorHAnsi" w:hAnsiTheme="minorHAnsi"/>
          <w:caps/>
          <w:color w:val="000000"/>
          <w:sz w:val="22"/>
          <w:szCs w:val="22"/>
          <w:lang w:val="bg-BG"/>
        </w:rPr>
        <w:t>е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динен европейски документ за обществени поръчки (ЕЕДОП) и/или други документи, които съдържат променена и/или допълнена информация. Допълнително предоставената информация може да обхваща и факти и обстоятелства, които са настъпили след крайния срок за получаване на оферти или заявления за участие.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1.13. Възможността по т.1.12. се прилага и за подизпълнителите и третите лица, посочени от участника. </w:t>
      </w:r>
      <w:r w:rsidRPr="00307DB5">
        <w:rPr>
          <w:rFonts w:asciiTheme="minorHAnsi" w:hAnsiTheme="minorHAnsi"/>
          <w:caps/>
          <w:color w:val="000000"/>
          <w:sz w:val="22"/>
          <w:szCs w:val="22"/>
          <w:lang w:val="bg-BG"/>
        </w:rPr>
        <w:t>у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частникът може да замени подизпълнител или трето лице, когато е установено, че под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softHyphen/>
        <w:t>изпълнителят или третото лице не отговарят на условията на възложителя, когато това не води до промяна на техническото предложение.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1.14. Когато промените се отнасят до обстоятелства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, различни от посочените по чл.54, ал.1, т.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1, 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2 и 7 и чл.55, ал.1, т.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5 ЗОП, новият ЕЕДОП може да бъде подписан от едно от лицата, които могат самостоятелно да представляват участника.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1.15.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След изтичането на срока по т.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1.12.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подбор. Комисията не разглежда техническите предложения на участниците, за които е установено, че не отговарят на изискванията за лично състояние и на критериите за подбор.</w:t>
      </w:r>
    </w:p>
    <w:p w:rsidR="00567FEC" w:rsidRPr="00307DB5" w:rsidRDefault="00567FEC" w:rsidP="00567FEC">
      <w:pPr>
        <w:widowControl w:val="0"/>
        <w:tabs>
          <w:tab w:val="left" w:pos="-1134"/>
          <w:tab w:val="left" w:pos="36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1.16. При извършването на предварителния подбор и на всеки етап от процедурата комисията може при необходимост да иска разяснения за данни, заявени от участниците, и/или да проверява заявените данни, включително чрез изискване на информация от други органи и лица.</w:t>
      </w:r>
    </w:p>
    <w:p w:rsidR="00567FEC" w:rsidRPr="00307DB5" w:rsidRDefault="00567FEC" w:rsidP="00567FEC">
      <w:pPr>
        <w:widowControl w:val="0"/>
        <w:tabs>
          <w:tab w:val="left" w:pos="-1134"/>
          <w:tab w:val="left" w:pos="360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lastRenderedPageBreak/>
        <w:t>1.17. Комисията разглежда допуснатите оферти и проверява за тяхното съответствие с предварително обявените условия.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1.18. Ценовото предложение на участник, чиято оферта не отговаря на изискванията на възложителя, не се отваря.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1.19. Когато част от показателите за оценка обхващат параметри от техническото предложение, комисията отваря ценовото предложение, след като е извършила оценяване на офертите по другите показатели.</w:t>
      </w:r>
    </w:p>
    <w:p w:rsidR="00567FEC" w:rsidRPr="00307DB5" w:rsidRDefault="00567FEC" w:rsidP="00567FEC">
      <w:pPr>
        <w:widowControl w:val="0"/>
        <w:tabs>
          <w:tab w:val="left" w:pos="360"/>
          <w:tab w:val="left" w:pos="1020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1.20. Не по-късно от два работни дни преди датата на отваряне на ценовите предложения комисията обявява най-малко чрез съобщение в профила на купувача датата, часа и мястото на отварянето. На отварянето могат да присъстват лицата по т.1.5. Комисията обявява резултатите от оценяването на офертите по другите показатели, отваря ценовите предложения и ги оповестява.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</w:t>
      </w:r>
    </w:p>
    <w:p w:rsidR="00567FEC" w:rsidRPr="00307DB5" w:rsidRDefault="00567FEC" w:rsidP="00567FE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1.21. След извършване на действията</w:t>
      </w:r>
      <w:r w:rsidR="00307DB5">
        <w:rPr>
          <w:rFonts w:asciiTheme="minorHAnsi" w:hAnsiTheme="minorHAnsi"/>
          <w:sz w:val="22"/>
          <w:szCs w:val="22"/>
          <w:lang w:val="bg-BG"/>
        </w:rPr>
        <w:t xml:space="preserve"> по т.</w:t>
      </w:r>
      <w:r w:rsidRPr="00307DB5">
        <w:rPr>
          <w:rFonts w:asciiTheme="minorHAnsi" w:hAnsiTheme="minorHAnsi"/>
          <w:sz w:val="22"/>
          <w:szCs w:val="22"/>
          <w:lang w:val="bg-BG"/>
        </w:rPr>
        <w:t>1.20. приключва публичната част от заседанието на комисията.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1.22. Когато предложение в офертата на участник, свързано с цена или разходи, което подлежи на оценяване, е с повече от 20 на сто по-благоприятно от средната стойност на предложенията на останалите участници по същия показател за оценка, възложителят изисква подробна писмена обосновка за начина на неговото образуване, която се представя в 5-дневен срок от получаване на искането. </w:t>
      </w:r>
    </w:p>
    <w:p w:rsidR="00567FEC" w:rsidRPr="00307DB5" w:rsidRDefault="00794259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1.23. Обосновката по т.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>1.22. може да се отнася до:</w:t>
      </w:r>
    </w:p>
    <w:p w:rsidR="00567FEC" w:rsidRPr="00307DB5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="Times New Roman"/>
          <w:szCs w:val="22"/>
        </w:rPr>
      </w:pPr>
      <w:r w:rsidRPr="00307DB5">
        <w:rPr>
          <w:rFonts w:asciiTheme="minorHAnsi" w:hAnsiTheme="minorHAnsi" w:cs="Times New Roman"/>
          <w:szCs w:val="22"/>
        </w:rPr>
        <w:t>икономическите особености на производствения процес, на предоставяните услуги или на строителния метод;</w:t>
      </w:r>
    </w:p>
    <w:p w:rsidR="00567FEC" w:rsidRPr="00307DB5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="Times New Roman"/>
          <w:szCs w:val="22"/>
        </w:rPr>
      </w:pPr>
      <w:r w:rsidRPr="00307DB5">
        <w:rPr>
          <w:rFonts w:asciiTheme="minorHAnsi" w:hAnsiTheme="minorHAnsi" w:cs="Times New Roman"/>
          <w:szCs w:val="22"/>
        </w:rPr>
        <w:t>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 на строителството;</w:t>
      </w:r>
    </w:p>
    <w:p w:rsidR="00567FEC" w:rsidRPr="00307DB5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="Times New Roman"/>
          <w:szCs w:val="22"/>
        </w:rPr>
      </w:pPr>
      <w:r w:rsidRPr="00307DB5">
        <w:rPr>
          <w:rFonts w:asciiTheme="minorHAnsi" w:hAnsiTheme="minorHAnsi" w:cs="Times New Roman"/>
          <w:szCs w:val="22"/>
        </w:rPr>
        <w:t>оригиналност на предложеното от участника решение по отношение на строителството, доставките или услугите;</w:t>
      </w:r>
    </w:p>
    <w:p w:rsidR="00567FEC" w:rsidRPr="00307DB5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="Times New Roman"/>
          <w:szCs w:val="22"/>
        </w:rPr>
      </w:pPr>
      <w:r w:rsidRPr="00307DB5">
        <w:rPr>
          <w:rFonts w:asciiTheme="minorHAnsi" w:hAnsiTheme="minorHAnsi" w:cs="Times New Roman"/>
          <w:szCs w:val="22"/>
        </w:rPr>
        <w:t>сп</w:t>
      </w:r>
      <w:r w:rsidR="00794259" w:rsidRPr="00307DB5">
        <w:rPr>
          <w:rFonts w:asciiTheme="minorHAnsi" w:hAnsiTheme="minorHAnsi" w:cs="Times New Roman"/>
          <w:szCs w:val="22"/>
        </w:rPr>
        <w:t>азването на задълженията по чл.</w:t>
      </w:r>
      <w:r w:rsidRPr="00307DB5">
        <w:rPr>
          <w:rFonts w:asciiTheme="minorHAnsi" w:hAnsiTheme="minorHAnsi" w:cs="Times New Roman"/>
          <w:szCs w:val="22"/>
        </w:rPr>
        <w:t>115 от ЗОП, а именно: „</w:t>
      </w:r>
      <w:r w:rsidRPr="00307DB5">
        <w:rPr>
          <w:rFonts w:asciiTheme="minorHAnsi" w:hAnsiTheme="minorHAnsi" w:cs="Times New Roman"/>
          <w:caps/>
          <w:szCs w:val="22"/>
        </w:rPr>
        <w:t>п</w:t>
      </w:r>
      <w:r w:rsidRPr="00307DB5">
        <w:rPr>
          <w:rFonts w:asciiTheme="minorHAnsi" w:hAnsiTheme="minorHAnsi" w:cs="Times New Roman"/>
          <w:szCs w:val="22"/>
        </w:rPr>
        <w:t>ри изпълнението на договорите за обществени поръчки изпълнителите и техните подизпълнители са длъжни да спазват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 съгласно приложение № 10”;</w:t>
      </w:r>
    </w:p>
    <w:p w:rsidR="00567FEC" w:rsidRPr="00307DB5" w:rsidRDefault="00567FEC" w:rsidP="00567FEC">
      <w:pPr>
        <w:pStyle w:val="BlockText"/>
        <w:numPr>
          <w:ilvl w:val="0"/>
          <w:numId w:val="1"/>
        </w:numPr>
        <w:tabs>
          <w:tab w:val="left" w:pos="868"/>
        </w:tabs>
        <w:ind w:left="0" w:right="0" w:firstLine="0"/>
        <w:rPr>
          <w:rFonts w:asciiTheme="minorHAnsi" w:hAnsiTheme="minorHAnsi" w:cs="Times New Roman"/>
          <w:szCs w:val="22"/>
        </w:rPr>
      </w:pPr>
      <w:r w:rsidRPr="00307DB5">
        <w:rPr>
          <w:rFonts w:asciiTheme="minorHAnsi" w:hAnsiTheme="minorHAnsi" w:cs="Times New Roman"/>
          <w:szCs w:val="22"/>
        </w:rPr>
        <w:t>възможността участникът да получи държавна помощ.</w:t>
      </w:r>
    </w:p>
    <w:p w:rsidR="00567FEC" w:rsidRPr="00307DB5" w:rsidRDefault="00567FEC" w:rsidP="00567FEC">
      <w:pPr>
        <w:pStyle w:val="BlockText"/>
        <w:tabs>
          <w:tab w:val="left" w:pos="868"/>
        </w:tabs>
        <w:ind w:left="0" w:right="0"/>
        <w:rPr>
          <w:rFonts w:asciiTheme="minorHAnsi" w:hAnsiTheme="minorHAnsi" w:cs="Times New Roman"/>
          <w:szCs w:val="22"/>
        </w:rPr>
      </w:pPr>
      <w:r w:rsidRPr="00307DB5">
        <w:rPr>
          <w:rFonts w:asciiTheme="minorHAnsi" w:hAnsiTheme="minorHAnsi" w:cs="Times New Roman"/>
          <w:szCs w:val="22"/>
        </w:rPr>
        <w:t>1.24. Получената обосновка се оценява по отношение на нейната пълнота и обективност относно обстоятелства</w:t>
      </w:r>
      <w:r w:rsidR="00794259" w:rsidRPr="00307DB5">
        <w:rPr>
          <w:rFonts w:asciiTheme="minorHAnsi" w:hAnsiTheme="minorHAnsi" w:cs="Times New Roman"/>
          <w:szCs w:val="22"/>
        </w:rPr>
        <w:t>та по т.</w:t>
      </w:r>
      <w:r w:rsidRPr="00307DB5">
        <w:rPr>
          <w:rFonts w:asciiTheme="minorHAnsi" w:hAnsiTheme="minorHAnsi" w:cs="Times New Roman"/>
          <w:szCs w:val="22"/>
        </w:rPr>
        <w:t>1.23., на които се позовава участникът. При необходимост от участника може да бъде изискана уточняваща информация. Обосновката може да не бъде приета и участникът да бъде отстранен, само когато представените доказателства не са достатъчни, за да обосноват предложената цена или разходи.</w:t>
      </w:r>
      <w:r w:rsidRPr="00307DB5">
        <w:rPr>
          <w:rFonts w:asciiTheme="minorHAnsi" w:hAnsiTheme="minorHAnsi"/>
          <w:szCs w:val="22"/>
        </w:rPr>
        <w:t xml:space="preserve"> </w:t>
      </w:r>
      <w:r w:rsidRPr="00307DB5">
        <w:rPr>
          <w:rFonts w:asciiTheme="minorHAnsi" w:hAnsiTheme="minorHAnsi" w:cs="Times New Roman"/>
          <w:szCs w:val="22"/>
        </w:rPr>
        <w:t>Когато участникът не представи в срок писмената обосновка, комисията го предлага за отстраняване от процедурата.</w:t>
      </w:r>
    </w:p>
    <w:p w:rsidR="00567FEC" w:rsidRPr="00307DB5" w:rsidRDefault="00567FEC" w:rsidP="00567FEC">
      <w:pPr>
        <w:pStyle w:val="NormalWeb"/>
        <w:spacing w:before="0" w:after="0"/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1.25. Не се приема оферта, когато се установи, че предложените в нея цена или разходи са с повече от 20 на сто по-благоприятни от средните стойности на съответните предложения в останалите оферти, защото не са спазени норми и правила,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които са изброени в приложение № 10 от ЗОП - Списък на конвенциите в социалната област и в област</w:t>
      </w:r>
      <w:r w:rsidR="00794259" w:rsidRPr="00307DB5">
        <w:rPr>
          <w:rFonts w:asciiTheme="minorHAnsi" w:hAnsiTheme="minorHAnsi"/>
          <w:sz w:val="22"/>
          <w:szCs w:val="22"/>
          <w:lang w:val="bg-BG"/>
        </w:rPr>
        <w:t>т</w:t>
      </w:r>
      <w:r w:rsidRPr="00307DB5">
        <w:rPr>
          <w:rFonts w:asciiTheme="minorHAnsi" w:hAnsiTheme="minorHAnsi"/>
          <w:sz w:val="22"/>
          <w:szCs w:val="22"/>
          <w:lang w:val="bg-BG"/>
        </w:rPr>
        <w:t>а на околната среда.</w:t>
      </w:r>
    </w:p>
    <w:p w:rsidR="00567FEC" w:rsidRPr="00307DB5" w:rsidRDefault="00567FEC" w:rsidP="00567FEC">
      <w:pPr>
        <w:jc w:val="both"/>
        <w:rPr>
          <w:rFonts w:asciiTheme="minorHAnsi" w:hAnsiTheme="minorHAnsi"/>
          <w:sz w:val="22"/>
          <w:szCs w:val="22"/>
          <w:lang w:val="bg-BG" w:eastAsia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 xml:space="preserve">1.26. Не се приема оферта, когато се установи, че предложените в нея цена или разходи са с повече от 20 на сто по-благоприятни от средната стойност на съответните предложения в останалите оферти поради получена държавна помощ, когато участникът не може да докаже в предвидения срок, че помощта е съвместима с вътрешния пазар по смисъла на </w:t>
      </w:r>
      <w:hyperlink r:id="rId7" w:anchor="p2638824" w:history="1">
        <w:r w:rsidR="00794259" w:rsidRPr="00307DB5">
          <w:rPr>
            <w:rFonts w:asciiTheme="minorHAnsi" w:hAnsiTheme="minorHAnsi"/>
            <w:sz w:val="22"/>
            <w:szCs w:val="22"/>
            <w:lang w:val="bg-BG" w:eastAsia="bg-BG"/>
          </w:rPr>
          <w:t>чл.</w:t>
        </w:r>
        <w:r w:rsidRPr="00307DB5">
          <w:rPr>
            <w:rFonts w:asciiTheme="minorHAnsi" w:hAnsiTheme="minorHAnsi"/>
            <w:sz w:val="22"/>
            <w:szCs w:val="22"/>
            <w:lang w:val="bg-BG" w:eastAsia="bg-BG"/>
          </w:rPr>
          <w:t>107 от ДФЕС</w:t>
        </w:r>
      </w:hyperlink>
      <w:r w:rsidRPr="00307DB5">
        <w:rPr>
          <w:rFonts w:asciiTheme="minorHAnsi" w:hAnsiTheme="minorHAnsi"/>
          <w:sz w:val="22"/>
          <w:szCs w:val="22"/>
          <w:lang w:val="bg-BG" w:eastAsia="bg-BG"/>
        </w:rPr>
        <w:t>.</w:t>
      </w:r>
    </w:p>
    <w:p w:rsidR="00567FEC" w:rsidRPr="00307DB5" w:rsidRDefault="00567FEC" w:rsidP="00567FE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Theme="minorHAnsi" w:hAnsiTheme="minorHAnsi"/>
          <w:i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1.27. Възложителят отстранява от процедурата участник, когато: 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1.27.1. 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е осъден с влязла в сила присъда, освен ако е реаби</w:t>
      </w:r>
      <w:r w:rsidR="00794259" w:rsidRPr="00307DB5">
        <w:rPr>
          <w:rFonts w:asciiTheme="minorHAnsi" w:hAnsiTheme="minorHAnsi"/>
          <w:sz w:val="22"/>
          <w:szCs w:val="22"/>
          <w:lang w:val="bg-BG" w:eastAsia="bg-BG"/>
        </w:rPr>
        <w:t>литиран, за престъпление по чл.108а, чл.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 xml:space="preserve">159а – </w:t>
      </w:r>
      <w:r w:rsidR="00794259" w:rsidRPr="00307DB5">
        <w:rPr>
          <w:rFonts w:asciiTheme="minorHAnsi" w:hAnsiTheme="minorHAnsi"/>
          <w:sz w:val="22"/>
          <w:szCs w:val="22"/>
          <w:lang w:val="bg-BG" w:eastAsia="bg-BG"/>
        </w:rPr>
        <w:t>159г, чл.172, чл.192а, чл.194 – 217, чл.219 – 252, чл.253 – 260, чл.301 – 307, чл.321, 321а и чл.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352 – 353е от Наказателния кодекс;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 w:eastAsia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1.27.2. 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е осъден с влязла в сила присъда, освен ако е реабилитиран, за престъп</w:t>
      </w:r>
      <w:r w:rsidR="00794259" w:rsidRPr="00307DB5">
        <w:rPr>
          <w:rFonts w:asciiTheme="minorHAnsi" w:hAnsiTheme="minorHAnsi"/>
          <w:sz w:val="22"/>
          <w:szCs w:val="22"/>
          <w:lang w:val="bg-BG" w:eastAsia="bg-BG"/>
        </w:rPr>
        <w:t>ление, аналогично на тези по т.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1.27.1., в друга държава членка или трета страна;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 w:eastAsia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1.27.3. има задължения за данъци и задължителни осигурителни вн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>оски по смисъла на чл.</w:t>
      </w:r>
      <w:r w:rsidR="00794259" w:rsidRPr="00307DB5">
        <w:rPr>
          <w:rFonts w:asciiTheme="minorHAnsi" w:hAnsiTheme="minorHAnsi"/>
          <w:sz w:val="22"/>
          <w:szCs w:val="22"/>
          <w:lang w:val="bg-BG" w:eastAsia="bg-BG"/>
        </w:rPr>
        <w:t>162, ал.2, т.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 xml:space="preserve">1 от Данъчно-осигурителния процесуален кодекс и лихвите по тях, към държавата или към общината по седалището на възложителя и на кандидата или участника, или аналогични задължения, установени с 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lastRenderedPageBreak/>
        <w:t>акт на компетентен орган, съгласно законодателството на държавата, в която кандидатът или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aps/>
          <w:sz w:val="22"/>
          <w:szCs w:val="22"/>
          <w:lang w:val="bg-BG"/>
        </w:rPr>
        <w:t>т</w:t>
      </w:r>
      <w:r w:rsidRPr="00307DB5">
        <w:rPr>
          <w:rFonts w:asciiTheme="minorHAnsi" w:hAnsiTheme="minorHAnsi"/>
          <w:sz w:val="22"/>
          <w:szCs w:val="22"/>
          <w:lang w:val="bg-BG"/>
        </w:rPr>
        <w:t>ова правило не се прилага, когато: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- се налага да се защитят особено важни държавни или обществени интереси;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- размерът на неплатените дължими данъци или </w:t>
      </w:r>
      <w:proofErr w:type="spellStart"/>
      <w:r w:rsidRPr="00307DB5">
        <w:rPr>
          <w:rFonts w:asciiTheme="minorHAnsi" w:hAnsiTheme="minorHAnsi"/>
          <w:sz w:val="22"/>
          <w:szCs w:val="22"/>
          <w:lang w:val="bg-BG"/>
        </w:rPr>
        <w:t>социалноосигурителни</w:t>
      </w:r>
      <w:proofErr w:type="spellEnd"/>
      <w:r w:rsidRPr="00307DB5">
        <w:rPr>
          <w:rFonts w:asciiTheme="minorHAnsi" w:hAnsiTheme="minorHAnsi"/>
          <w:sz w:val="22"/>
          <w:szCs w:val="22"/>
          <w:lang w:val="bg-BG"/>
        </w:rPr>
        <w:t xml:space="preserve"> вноски е не повече от 1 на сто от сумата на годишния общ оборот за последната приключена финансова година;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1.27.4. е налице нерав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>нопоставеност в случаите по чл.44, ал.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5,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когато не може да се осигури спазване на принципа за равнопоставеност, кандидатът или участникът, участвал в пазарните консултации и/или в подготовката за възлагане на поръчката, се отстранява от процедурата, ако не може да докаже, че участието му не води до нарушаване на този принцип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;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1.27.5.е установено, че:</w:t>
      </w:r>
    </w:p>
    <w:p w:rsidR="00567FEC" w:rsidRPr="00307DB5" w:rsidRDefault="00567FEC" w:rsidP="00567FEC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 w:eastAsia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</w:t>
      </w:r>
    </w:p>
    <w:p w:rsidR="00567FEC" w:rsidRPr="00307DB5" w:rsidRDefault="00567FEC" w:rsidP="00567FEC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 w:eastAsia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1.27.6. 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е установено с влязло в сила наказателно постановление или съдебно решение, че при изпълнение на договор за о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>бществена поръчка е нарушил чл.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118, чл.128, чл.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>245 и чл.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301 – 305 от Кодекса на труда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1.27.7. е налице конфликт на интереси, който не може да бъде отстранен;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aps/>
          <w:sz w:val="22"/>
          <w:szCs w:val="22"/>
          <w:lang w:val="bg-BG"/>
        </w:rPr>
        <w:t xml:space="preserve">1.27.8. 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не отговаря на поставените критерии за подбор или не изпълни друго условие, посочено в обявлението за обществена поръчка или в документацията за участие; 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1.27.9. е представил оферта, която не отговаря на: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а)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предварително обявените условия за поръчката;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б)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к</w:t>
      </w:r>
      <w:r w:rsidR="00CB3324">
        <w:rPr>
          <w:rFonts w:asciiTheme="minorHAnsi" w:hAnsiTheme="minorHAnsi"/>
          <w:sz w:val="22"/>
          <w:szCs w:val="22"/>
          <w:lang w:val="bg-BG"/>
        </w:rPr>
        <w:t>оито са изброени в приложение №</w:t>
      </w:r>
      <w:r w:rsidRPr="00307DB5">
        <w:rPr>
          <w:rFonts w:asciiTheme="minorHAnsi" w:hAnsiTheme="minorHAnsi"/>
          <w:sz w:val="22"/>
          <w:szCs w:val="22"/>
          <w:lang w:val="bg-BG"/>
        </w:rPr>
        <w:t>10 от ЗОП – Списък на конвенциите в социалната област и в област</w:t>
      </w:r>
      <w:r w:rsidR="00CB3324" w:rsidRPr="00CB3324">
        <w:rPr>
          <w:rFonts w:asciiTheme="minorHAnsi" w:hAnsiTheme="minorHAnsi"/>
          <w:sz w:val="22"/>
          <w:szCs w:val="22"/>
          <w:lang w:val="ru-RU"/>
        </w:rPr>
        <w:t>т</w:t>
      </w:r>
      <w:r w:rsidRPr="00307DB5">
        <w:rPr>
          <w:rFonts w:asciiTheme="minorHAnsi" w:hAnsiTheme="minorHAnsi"/>
          <w:sz w:val="22"/>
          <w:szCs w:val="22"/>
          <w:lang w:val="bg-BG"/>
        </w:rPr>
        <w:t>а на околната среда;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1.27.10. не е пред</w:t>
      </w:r>
      <w:r w:rsidR="00CB3324">
        <w:rPr>
          <w:rFonts w:asciiTheme="minorHAnsi" w:hAnsiTheme="minorHAnsi"/>
          <w:sz w:val="22"/>
          <w:szCs w:val="22"/>
          <w:lang w:val="bg-BG"/>
        </w:rPr>
        <w:t>ставил в срок обосновката по т.</w:t>
      </w:r>
      <w:bookmarkStart w:id="0" w:name="_GoBack"/>
      <w:bookmarkEnd w:id="0"/>
      <w:r w:rsidRPr="00307DB5">
        <w:rPr>
          <w:rFonts w:asciiTheme="minorHAnsi" w:hAnsiTheme="minorHAnsi"/>
          <w:sz w:val="22"/>
          <w:szCs w:val="22"/>
          <w:lang w:val="bg-BG"/>
        </w:rPr>
        <w:t>1.22. или чиято о</w:t>
      </w:r>
      <w:r w:rsidR="00CB3324">
        <w:rPr>
          <w:rFonts w:asciiTheme="minorHAnsi" w:hAnsiTheme="minorHAnsi"/>
          <w:sz w:val="22"/>
          <w:szCs w:val="22"/>
          <w:lang w:val="bg-BG"/>
        </w:rPr>
        <w:t>ферта не е приета съгласно т.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1.24. – 1.26. 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1.27.11. са свързани лица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 xml:space="preserve"> по смисъла на §2, т.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45 от Допълнителните разпоредби на ЗОП</w:t>
      </w:r>
      <w:r w:rsidRPr="00307DB5">
        <w:rPr>
          <w:rFonts w:asciiTheme="minorHAnsi" w:hAnsiTheme="minorHAnsi"/>
          <w:sz w:val="22"/>
          <w:szCs w:val="22"/>
          <w:lang w:val="bg-BG"/>
        </w:rPr>
        <w:t>.</w:t>
      </w:r>
    </w:p>
    <w:p w:rsidR="00567FEC" w:rsidRPr="00307DB5" w:rsidRDefault="00CB3324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1.28. Основанията по т.т.1.27.1., 1.27.2. и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 xml:space="preserve"> 1.27.7.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1.29. </w:t>
      </w:r>
      <w:r w:rsidRPr="00307DB5">
        <w:rPr>
          <w:rFonts w:asciiTheme="minorHAnsi" w:hAnsiTheme="minorHAnsi"/>
          <w:caps/>
          <w:sz w:val="22"/>
          <w:szCs w:val="22"/>
          <w:lang w:val="bg-BG"/>
        </w:rPr>
        <w:t>к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огато участникът е </w:t>
      </w:r>
      <w:r w:rsidR="00CB3324">
        <w:rPr>
          <w:rFonts w:asciiTheme="minorHAnsi" w:hAnsiTheme="minorHAnsi"/>
          <w:sz w:val="22"/>
          <w:szCs w:val="22"/>
          <w:lang w:val="bg-BG"/>
        </w:rPr>
        <w:t>обединение, основанията по т.т.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1.27.1. – 1.27.7. се отнасят и за всяко от лицата, включени в обединението. </w:t>
      </w:r>
    </w:p>
    <w:p w:rsidR="00567FEC" w:rsidRPr="00307DB5" w:rsidRDefault="00567FEC" w:rsidP="00567FEC">
      <w:pPr>
        <w:spacing w:line="268" w:lineRule="auto"/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1.30. 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Когато за участник е нал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ице някое от основанията по чл.54,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 от ЗОП или посочените от възложит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еля основания по чл.55,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 от ЗОП и преди подаването на офертата той е предприел мерки за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 xml:space="preserve"> доказване на надеждност по чл.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56 от ЗОП, тези мерки се описват в </w:t>
      </w:r>
      <w:r w:rsidR="00CB3324" w:rsidRPr="00307DB5">
        <w:rPr>
          <w:rFonts w:asciiTheme="minorHAnsi" w:hAnsiTheme="minorHAnsi"/>
          <w:sz w:val="22"/>
          <w:szCs w:val="22"/>
          <w:lang w:val="bg-BG" w:eastAsia="bg-BG"/>
        </w:rPr>
        <w:t>Единен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 xml:space="preserve"> европейски документ за обществени поръчки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(ЕЕДОП).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Като доказателства за надеждността на участника се представят следните документи:</w:t>
      </w:r>
    </w:p>
    <w:p w:rsidR="00567FEC" w:rsidRPr="00307DB5" w:rsidRDefault="00567FEC" w:rsidP="00567FEC">
      <w:pPr>
        <w:spacing w:line="268" w:lineRule="auto"/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а)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по отно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шение на обстоятелството по чл.56, ал.1, т.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 и 2 ЗОП – документ за извършено плащане или споразумение, или друг документ, от който да е видно, че задълженията са обезпечени или че страните са договорили тяхното отсрочване или разсрочване, заедно с погасителен план и/или с посочени дати за окончателно изплащане на дължимите задължения или е в процес на изплащане на дължимо обезщетение;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б)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по отно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шение на обстоятелството по чл.56, ал.1, т.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3 ЗОП – документ от съответния компетентен орган за потвърждение на описаните обстоятелства.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1.31. </w:t>
      </w:r>
      <w:r w:rsidRPr="00307DB5">
        <w:rPr>
          <w:rFonts w:asciiTheme="minorHAnsi" w:hAnsiTheme="minorHAnsi"/>
          <w:caps/>
          <w:sz w:val="22"/>
          <w:szCs w:val="22"/>
          <w:lang w:val="bg-BG"/>
        </w:rPr>
        <w:t>у</w:t>
      </w:r>
      <w:r w:rsidRPr="00307DB5">
        <w:rPr>
          <w:rFonts w:asciiTheme="minorHAnsi" w:hAnsiTheme="minorHAnsi"/>
          <w:sz w:val="22"/>
          <w:szCs w:val="22"/>
          <w:lang w:val="bg-BG"/>
        </w:rPr>
        <w:t>частник, който с влязла в сила присъда или друг акт съгласно законодателството на държавата, в която е произнесена присъдата или е издаден актът, е лишен от правото да участва в процедури за обществени поръчки или концесии, няма право да използва предвидената възможност да представи доказателства, че е предприел мерки, които гарантират неговата надеждност за времето, определено с присъдата или акта.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aps/>
          <w:color w:val="000000"/>
          <w:sz w:val="22"/>
          <w:szCs w:val="22"/>
          <w:lang w:val="bg-BG"/>
        </w:rPr>
        <w:lastRenderedPageBreak/>
        <w:t>1.32. у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частниците са длъжни да уведомят писмено възложителя в 3-дневен срок от нас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тъпване на обстоятелство по чл.54, ал.1, чл.101,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11 от ЗОП или посочено от възложителя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 xml:space="preserve"> в обявлението основание по чл.55,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 от ЗОП.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1.33. </w:t>
      </w:r>
      <w:r w:rsidRPr="00307DB5">
        <w:rPr>
          <w:rFonts w:asciiTheme="minorHAnsi" w:hAnsiTheme="minorHAnsi"/>
          <w:caps/>
          <w:color w:val="000000"/>
          <w:sz w:val="22"/>
          <w:szCs w:val="22"/>
          <w:lang w:val="bg-BG"/>
        </w:rPr>
        <w:t>у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частниците – при поискване от страна на възложителя, са длъжни да представят необходимата информация относно правно-организационната форма, под която осъществяват дейността си, както и списък на всички з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адължени лица по смисъла на чл.54, ал.2 и чл.55,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3 ЗОП, независимо от наименованието на органите, в които участват, или длъжностите, които заемат.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1.34. </w:t>
      </w:r>
      <w:r w:rsidRPr="00307DB5">
        <w:rPr>
          <w:rFonts w:asciiTheme="minorHAnsi" w:hAnsiTheme="minorHAnsi"/>
          <w:sz w:val="22"/>
          <w:szCs w:val="22"/>
          <w:lang w:val="bg-BG" w:eastAsia="bg-BG"/>
        </w:rPr>
        <w:t>При подаване на офертата участникът декларира липсата на основанията за отстраняване и съответствието с критериите за подбор чрез представяне на ЕЕДОП.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1.35. Възложителят може да изисква от участниците по всяко време да представят всички или част от документите, чрез които се доказва информацията, посочена в ЕЕДОП, когато това е необходимо за законосъобразното провеждане на процедурата.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highlight w:val="yellow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1.36. Участникът, избран за изпълнител, преди сключване на договора представя актуални документи, удостоверяващи липсата на основанията за отстраняване от процедурата, както и съответствието с поставените критерии за подбор. Документите се представят и за подизпълнителите и третите лица, ако има такива.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1.37. Когато срокът на валидност на офертите е изтекъл, възложителят кани участниците да го удължат. Участник, който след покана и в определения в нея срок не удължи срока на валидност на офертата си, се отстранява от участие.</w:t>
      </w:r>
    </w:p>
    <w:p w:rsidR="00567FEC" w:rsidRPr="00307DB5" w:rsidRDefault="00567FEC" w:rsidP="00567FEC">
      <w:pPr>
        <w:tabs>
          <w:tab w:val="left" w:pos="868"/>
        </w:tabs>
        <w:ind w:right="3"/>
        <w:jc w:val="both"/>
        <w:rPr>
          <w:rFonts w:asciiTheme="minorHAnsi" w:hAnsiTheme="minorHAnsi"/>
          <w:b/>
          <w:sz w:val="22"/>
          <w:szCs w:val="22"/>
          <w:lang w:val="bg-BG"/>
        </w:rPr>
      </w:pPr>
      <w:r w:rsidRPr="00307DB5">
        <w:rPr>
          <w:rFonts w:asciiTheme="minorHAnsi" w:hAnsiTheme="minorHAnsi"/>
          <w:b/>
          <w:bCs/>
          <w:sz w:val="22"/>
          <w:szCs w:val="22"/>
          <w:lang w:val="bg-BG"/>
        </w:rPr>
        <w:t xml:space="preserve">2. Разглеждане, </w:t>
      </w:r>
      <w:r w:rsidRPr="00307DB5">
        <w:rPr>
          <w:rFonts w:asciiTheme="minorHAnsi" w:hAnsiTheme="minorHAnsi"/>
          <w:b/>
          <w:sz w:val="22"/>
          <w:szCs w:val="22"/>
          <w:lang w:val="bg-BG"/>
        </w:rPr>
        <w:t>оценка и класиране на допуснатите оферти.</w:t>
      </w:r>
    </w:p>
    <w:p w:rsidR="00567FEC" w:rsidRPr="00307DB5" w:rsidRDefault="00567FEC" w:rsidP="00567FEC">
      <w:pPr>
        <w:tabs>
          <w:tab w:val="left" w:pos="426"/>
        </w:tabs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307DB5">
        <w:rPr>
          <w:rFonts w:asciiTheme="minorHAnsi" w:hAnsiTheme="minorHAnsi"/>
          <w:bCs/>
          <w:sz w:val="22"/>
          <w:szCs w:val="22"/>
          <w:lang w:val="bg-BG"/>
        </w:rPr>
        <w:t>2.1. Комисията класира участниците по степента на съответствие на офертите с предварително обявените от възложителя условия въз основа на икономически най-изгодна оферта по критерий за възлагане „най-ниска цена”.</w:t>
      </w:r>
    </w:p>
    <w:p w:rsidR="00567FEC" w:rsidRPr="00307DB5" w:rsidRDefault="00567FEC" w:rsidP="00567FEC">
      <w:pPr>
        <w:tabs>
          <w:tab w:val="left" w:pos="426"/>
        </w:tabs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307DB5">
        <w:rPr>
          <w:rFonts w:asciiTheme="minorHAnsi" w:hAnsiTheme="minorHAnsi"/>
          <w:bCs/>
          <w:sz w:val="22"/>
          <w:szCs w:val="22"/>
          <w:lang w:val="bg-BG"/>
        </w:rPr>
        <w:t>2.2. В случай, че цените в две или повече оферти са еднакви, комисията провежда публично жребий за определяне на изпълнител между класираните на първо място оферти.</w:t>
      </w:r>
    </w:p>
    <w:p w:rsidR="00567FEC" w:rsidRPr="00307DB5" w:rsidRDefault="00567FEC" w:rsidP="00567FEC">
      <w:pPr>
        <w:tabs>
          <w:tab w:val="left" w:pos="426"/>
        </w:tabs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307DB5">
        <w:rPr>
          <w:rFonts w:asciiTheme="minorHAnsi" w:hAnsiTheme="minorHAnsi"/>
          <w:bCs/>
          <w:sz w:val="22"/>
          <w:szCs w:val="22"/>
          <w:lang w:val="bg-BG"/>
        </w:rPr>
        <w:t>2.3. Комисията изготвя протокол за резултатите от работата си, който се подписва от всички членове и се предава на възложителя, заедно с цялата документация, за утвърждаване.</w:t>
      </w:r>
    </w:p>
    <w:p w:rsidR="00D71C89" w:rsidRPr="00307DB5" w:rsidRDefault="00D71C89">
      <w:pPr>
        <w:rPr>
          <w:rFonts w:asciiTheme="minorHAnsi" w:hAnsiTheme="minorHAnsi"/>
          <w:sz w:val="22"/>
          <w:szCs w:val="22"/>
          <w:lang w:val="bg-BG"/>
        </w:rPr>
      </w:pPr>
    </w:p>
    <w:sectPr w:rsidR="00D71C89" w:rsidRPr="00307DB5" w:rsidSect="00794259">
      <w:footerReference w:type="default" r:id="rId8"/>
      <w:pgSz w:w="11906" w:h="16838"/>
      <w:pgMar w:top="851" w:right="707" w:bottom="993" w:left="1417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5AB" w:rsidRDefault="008955AB" w:rsidP="00794259">
      <w:r>
        <w:separator/>
      </w:r>
    </w:p>
  </w:endnote>
  <w:endnote w:type="continuationSeparator" w:id="0">
    <w:p w:rsidR="008955AB" w:rsidRDefault="008955AB" w:rsidP="0079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02960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4259" w:rsidRDefault="0079425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50A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94259" w:rsidRDefault="007942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5AB" w:rsidRDefault="008955AB" w:rsidP="00794259">
      <w:r>
        <w:separator/>
      </w:r>
    </w:p>
  </w:footnote>
  <w:footnote w:type="continuationSeparator" w:id="0">
    <w:p w:rsidR="008955AB" w:rsidRDefault="008955AB" w:rsidP="00794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BA9"/>
    <w:multiLevelType w:val="hybridMultilevel"/>
    <w:tmpl w:val="592C52C4"/>
    <w:styleLink w:val="List71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15"/>
        </w:tabs>
        <w:ind w:left="315" w:hanging="360"/>
      </w:pPr>
      <w:rPr>
        <w:b w:val="0"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1035"/>
        </w:tabs>
        <w:ind w:left="1035" w:hanging="360"/>
      </w:pPr>
    </w:lvl>
    <w:lvl w:ilvl="3" w:tplc="FFFFFFFF">
      <w:start w:val="1"/>
      <w:numFmt w:val="decimal"/>
      <w:lvlText w:val="%4."/>
      <w:lvlJc w:val="left"/>
      <w:pPr>
        <w:tabs>
          <w:tab w:val="num" w:pos="1755"/>
        </w:tabs>
        <w:ind w:left="1755" w:hanging="360"/>
      </w:pPr>
    </w:lvl>
    <w:lvl w:ilvl="4" w:tplc="FFFFFFFF">
      <w:start w:val="1"/>
      <w:numFmt w:val="decimal"/>
      <w:lvlText w:val="%5."/>
      <w:lvlJc w:val="left"/>
      <w:pPr>
        <w:tabs>
          <w:tab w:val="num" w:pos="2475"/>
        </w:tabs>
        <w:ind w:left="2475" w:hanging="360"/>
      </w:pPr>
    </w:lvl>
    <w:lvl w:ilvl="5" w:tplc="FFFFFFFF">
      <w:start w:val="1"/>
      <w:numFmt w:val="decimal"/>
      <w:lvlText w:val="%6."/>
      <w:lvlJc w:val="left"/>
      <w:pPr>
        <w:tabs>
          <w:tab w:val="num" w:pos="3195"/>
        </w:tabs>
        <w:ind w:left="3195" w:hanging="360"/>
      </w:pPr>
    </w:lvl>
    <w:lvl w:ilvl="6" w:tplc="FFFFFFFF">
      <w:start w:val="1"/>
      <w:numFmt w:val="decimal"/>
      <w:lvlText w:val="%7."/>
      <w:lvlJc w:val="left"/>
      <w:pPr>
        <w:tabs>
          <w:tab w:val="num" w:pos="3915"/>
        </w:tabs>
        <w:ind w:left="3915" w:hanging="360"/>
      </w:pPr>
    </w:lvl>
    <w:lvl w:ilvl="7" w:tplc="FFFFFFFF">
      <w:start w:val="1"/>
      <w:numFmt w:val="decimal"/>
      <w:lvlText w:val="%8."/>
      <w:lvlJc w:val="left"/>
      <w:pPr>
        <w:tabs>
          <w:tab w:val="num" w:pos="4635"/>
        </w:tabs>
        <w:ind w:left="4635" w:hanging="360"/>
      </w:pPr>
    </w:lvl>
    <w:lvl w:ilvl="8" w:tplc="FFFFFFFF">
      <w:start w:val="1"/>
      <w:numFmt w:val="decimal"/>
      <w:lvlText w:val="%9."/>
      <w:lvlJc w:val="left"/>
      <w:pPr>
        <w:tabs>
          <w:tab w:val="num" w:pos="5355"/>
        </w:tabs>
        <w:ind w:left="5355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C42"/>
    <w:rsid w:val="00307DB5"/>
    <w:rsid w:val="004550A8"/>
    <w:rsid w:val="00567FEC"/>
    <w:rsid w:val="00716794"/>
    <w:rsid w:val="00794259"/>
    <w:rsid w:val="00823C42"/>
    <w:rsid w:val="008955AB"/>
    <w:rsid w:val="00CB3324"/>
    <w:rsid w:val="00D7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700D59"/>
  <w15:chartTrackingRefBased/>
  <w15:docId w15:val="{7D2A8D94-B707-48C5-9763-C20EAB123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67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67F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67F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lockText">
    <w:name w:val="Block Text"/>
    <w:basedOn w:val="Normal"/>
    <w:rsid w:val="00567FEC"/>
    <w:pPr>
      <w:ind w:left="540" w:right="-514"/>
      <w:jc w:val="both"/>
    </w:pPr>
    <w:rPr>
      <w:rFonts w:ascii="Arial" w:hAnsi="Arial" w:cs="Arial"/>
      <w:sz w:val="22"/>
      <w:lang w:val="bg-BG"/>
    </w:rPr>
  </w:style>
  <w:style w:type="paragraph" w:styleId="NormalWeb">
    <w:name w:val="Normal (Web)"/>
    <w:basedOn w:val="Normal"/>
    <w:next w:val="BodyTextFirstIndent"/>
    <w:rsid w:val="00567FEC"/>
    <w:pPr>
      <w:spacing w:before="100" w:after="100"/>
    </w:pPr>
    <w:rPr>
      <w:szCs w:val="20"/>
      <w:lang w:val="en-GB" w:eastAsia="bg-BG"/>
    </w:rPr>
  </w:style>
  <w:style w:type="numbering" w:customStyle="1" w:styleId="List71">
    <w:name w:val="List 71"/>
    <w:autoRedefine/>
    <w:rsid w:val="00567FEC"/>
    <w:pPr>
      <w:numPr>
        <w:numId w:val="2"/>
      </w:numPr>
    </w:pPr>
  </w:style>
  <w:style w:type="paragraph" w:styleId="BodyText">
    <w:name w:val="Body Text"/>
    <w:basedOn w:val="Normal"/>
    <w:link w:val="BodyTextChar"/>
    <w:uiPriority w:val="99"/>
    <w:semiHidden/>
    <w:unhideWhenUsed/>
    <w:rsid w:val="00567FE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67F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67FE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67F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942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42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9425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25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apis.eso.bg/e.php?b=1&amp;i=2052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2200</Words>
  <Characters>12544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Vania Koleva</cp:lastModifiedBy>
  <cp:revision>5</cp:revision>
  <dcterms:created xsi:type="dcterms:W3CDTF">2016-07-19T09:23:00Z</dcterms:created>
  <dcterms:modified xsi:type="dcterms:W3CDTF">2016-07-22T07:41:00Z</dcterms:modified>
</cp:coreProperties>
</file>